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4D2" w:rsidRPr="00301D8C" w:rsidRDefault="00301D8C" w:rsidP="00301D8C">
      <w:pPr>
        <w:jc w:val="center"/>
        <w:rPr>
          <w:b/>
          <w:bCs/>
        </w:rPr>
      </w:pPr>
      <w:r w:rsidRPr="00301D8C">
        <w:rPr>
          <w:b/>
          <w:bCs/>
        </w:rPr>
        <w:t>Clinical Decision Support Requirements</w:t>
      </w:r>
    </w:p>
    <w:p w:rsidR="00301D8C" w:rsidRPr="00301D8C" w:rsidRDefault="00222C59" w:rsidP="00922C68">
      <w:pPr>
        <w:pStyle w:val="Heading2"/>
      </w:pPr>
      <w:r>
        <w:t xml:space="preserve">Background and </w:t>
      </w:r>
      <w:r w:rsidR="00301D8C" w:rsidRPr="00301D8C">
        <w:t>Description</w:t>
      </w:r>
    </w:p>
    <w:p w:rsidR="00C333D1" w:rsidRDefault="00A3438E" w:rsidP="00C47374">
      <w:pPr>
        <w:spacing w:line="360" w:lineRule="auto"/>
        <w:jc w:val="both"/>
      </w:pPr>
      <w:r>
        <w:t>We are</w:t>
      </w:r>
      <w:bookmarkStart w:id="0" w:name="_GoBack"/>
      <w:bookmarkEnd w:id="0"/>
      <w:r w:rsidR="003F64B8">
        <w:t xml:space="preserve"> currently rolling out a Bahmni based electronic medical record system to automate point of care processes in all facilities offering HIV Care treatment service</w:t>
      </w:r>
      <w:r w:rsidR="009F6D87">
        <w:t>s</w:t>
      </w:r>
      <w:r w:rsidR="003F64B8">
        <w:t xml:space="preserve"> in the country</w:t>
      </w:r>
      <w:r w:rsidR="00F15FB4">
        <w:t xml:space="preserve">. </w:t>
      </w:r>
      <w:r w:rsidR="001B73D6">
        <w:t xml:space="preserve">Among the major advantages that the automation is targeted to provide is the enforcement of standardized </w:t>
      </w:r>
      <w:r w:rsidR="00B920BA">
        <w:t>c</w:t>
      </w:r>
      <w:r w:rsidR="001B73D6">
        <w:t xml:space="preserve">linical processes </w:t>
      </w:r>
      <w:r w:rsidR="00FD1698">
        <w:t xml:space="preserve">supporting </w:t>
      </w:r>
      <w:r w:rsidR="00323D51">
        <w:t xml:space="preserve">currently </w:t>
      </w:r>
      <w:r w:rsidR="00FD1698">
        <w:t xml:space="preserve">adopted </w:t>
      </w:r>
      <w:r w:rsidR="00B920BA">
        <w:t>HIV Care &amp; Treatment</w:t>
      </w:r>
      <w:r w:rsidR="00FD1698">
        <w:t xml:space="preserve"> guideline</w:t>
      </w:r>
      <w:r w:rsidR="00323D51">
        <w:t>s</w:t>
      </w:r>
      <w:r w:rsidR="009A4E6B">
        <w:t xml:space="preserve">. </w:t>
      </w:r>
      <w:r w:rsidR="001B73D6">
        <w:t>Th</w:t>
      </w:r>
      <w:r w:rsidR="00773A59">
        <w:t>e</w:t>
      </w:r>
      <w:r w:rsidR="000113EB">
        <w:t xml:space="preserve"> key objectives for implementing th</w:t>
      </w:r>
      <w:r w:rsidR="00773A59">
        <w:t>e Bahmni based</w:t>
      </w:r>
      <w:r w:rsidR="000113EB">
        <w:t xml:space="preserve"> electronic point of care solution</w:t>
      </w:r>
      <w:r w:rsidR="00DF5D36">
        <w:t xml:space="preserve"> are:</w:t>
      </w:r>
    </w:p>
    <w:p w:rsidR="00C333D1" w:rsidRDefault="00C333D1" w:rsidP="00C333D1">
      <w:pPr>
        <w:rPr>
          <w:b/>
          <w:bCs/>
        </w:rPr>
      </w:pPr>
      <w:r w:rsidRPr="00C333D1">
        <w:rPr>
          <w:b/>
          <w:bCs/>
        </w:rPr>
        <w:t>Objectives</w:t>
      </w:r>
    </w:p>
    <w:p w:rsidR="00BA1DA5" w:rsidRPr="00BA1DA5" w:rsidRDefault="00BA1DA5" w:rsidP="00C47374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t>Capture and use high quality client level longitudinal data for improved patient outcomes</w:t>
      </w:r>
    </w:p>
    <w:p w:rsidR="00BA1DA5" w:rsidRPr="00BA1DA5" w:rsidRDefault="00BA1DA5" w:rsidP="00C47374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t>Identify and track clients within and across sites through the 95-95-95 HIV care cascade</w:t>
      </w:r>
    </w:p>
    <w:p w:rsidR="00934ACA" w:rsidRPr="00934ACA" w:rsidRDefault="00B22127" w:rsidP="00C47374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t>Produce accurate and timely data to inform progress towards epidemic control target; 95-95-95 HIV care cascade</w:t>
      </w:r>
    </w:p>
    <w:p w:rsidR="00934ACA" w:rsidRDefault="00934ACA" w:rsidP="00922C68">
      <w:pPr>
        <w:pStyle w:val="Heading2"/>
      </w:pPr>
      <w:r>
        <w:t xml:space="preserve">Clinical Decision </w:t>
      </w:r>
      <w:r w:rsidR="00B44316">
        <w:t>Use Case</w:t>
      </w:r>
    </w:p>
    <w:p w:rsidR="00301D8C" w:rsidRDefault="00CF226A" w:rsidP="00C47374">
      <w:pPr>
        <w:spacing w:line="360" w:lineRule="auto"/>
        <w:jc w:val="both"/>
      </w:pPr>
      <w:r>
        <w:t xml:space="preserve">In line with the overarching objectives of the implementation, there is a requirement for the system to support clinicians with relevant clinical decisions based on the </w:t>
      </w:r>
      <w:r w:rsidR="004621B7">
        <w:t>currently</w:t>
      </w:r>
      <w:r>
        <w:t xml:space="preserve"> adopted </w:t>
      </w:r>
      <w:r w:rsidR="000B2824">
        <w:t>clinical t</w:t>
      </w:r>
      <w:r>
        <w:t>reatment guidelines.</w:t>
      </w:r>
      <w:r w:rsidR="00BC7748">
        <w:t xml:space="preserve"> Th</w:t>
      </w:r>
      <w:r w:rsidR="00816055">
        <w:t>is requirement is</w:t>
      </w:r>
      <w:r w:rsidR="00BC7748">
        <w:t xml:space="preserve"> mainly meant to support the </w:t>
      </w:r>
      <w:r w:rsidR="00816055">
        <w:t>ef</w:t>
      </w:r>
      <w:r w:rsidR="00097418">
        <w:t xml:space="preserve">fective and efficient </w:t>
      </w:r>
      <w:r w:rsidR="00BC7748">
        <w:t xml:space="preserve">scale up of the 90-90-90 targets for testing, treatment and </w:t>
      </w:r>
      <w:r w:rsidR="004B6C79">
        <w:t>viral load suppression.</w:t>
      </w:r>
      <w:r w:rsidR="00494C78">
        <w:t xml:space="preserve"> There </w:t>
      </w:r>
      <w:r w:rsidR="00C95167">
        <w:t>are several</w:t>
      </w:r>
      <w:r w:rsidR="00494C78">
        <w:t xml:space="preserve"> health programs/services that require CDS support within the system namely: HIV Testing Services, PMTCT, HEI, PNC, ANC, TB</w:t>
      </w:r>
      <w:r w:rsidR="002344C0">
        <w:t>, Cervical Cancer</w:t>
      </w:r>
      <w:r w:rsidR="00494C78">
        <w:t xml:space="preserve"> and ART</w:t>
      </w:r>
      <w:r w:rsidR="00714B8F">
        <w:t>.</w:t>
      </w:r>
    </w:p>
    <w:p w:rsidR="00225FF8" w:rsidRDefault="00225FF8" w:rsidP="00952639">
      <w:pPr>
        <w:pStyle w:val="Heading2"/>
      </w:pPr>
      <w:r w:rsidRPr="00225FF8">
        <w:t>CDS Requirements</w:t>
      </w:r>
    </w:p>
    <w:p w:rsidR="001348C1" w:rsidRPr="00C47374" w:rsidRDefault="001348C1" w:rsidP="00C47374">
      <w:pPr>
        <w:pStyle w:val="ListParagraph"/>
        <w:numPr>
          <w:ilvl w:val="0"/>
          <w:numId w:val="4"/>
        </w:numPr>
        <w:spacing w:line="360" w:lineRule="auto"/>
        <w:jc w:val="both"/>
      </w:pPr>
      <w:r w:rsidRPr="00C47374">
        <w:rPr>
          <w:b/>
        </w:rPr>
        <w:t>Targeted Testing (for HTS module)</w:t>
      </w:r>
      <w:r w:rsidRPr="00C47374">
        <w:t xml:space="preserve"> – through an alert message, </w:t>
      </w:r>
      <w:r w:rsidR="002E36CF">
        <w:t xml:space="preserve">the </w:t>
      </w:r>
      <w:r w:rsidRPr="00C47374">
        <w:t>provider at the point of care should be prompted to offer testing service to the under listed patients.</w:t>
      </w:r>
    </w:p>
    <w:p w:rsidR="00DA5379" w:rsidRPr="00C47374" w:rsidRDefault="00DD0CB0" w:rsidP="00C47374">
      <w:pPr>
        <w:pStyle w:val="ListParagraph"/>
        <w:numPr>
          <w:ilvl w:val="1"/>
          <w:numId w:val="4"/>
        </w:numPr>
        <w:spacing w:line="360" w:lineRule="auto"/>
        <w:jc w:val="both"/>
      </w:pPr>
      <w:r w:rsidRPr="00C47374">
        <w:t>All patient diagnosed and/or on treatment for TB – HTS module should ensure that all patients with diagnosis for TB are tested for HIV.</w:t>
      </w:r>
    </w:p>
    <w:p w:rsidR="00C3234E" w:rsidRPr="00C47374" w:rsidRDefault="00616982" w:rsidP="00C47374">
      <w:pPr>
        <w:pStyle w:val="ListParagraph"/>
        <w:numPr>
          <w:ilvl w:val="1"/>
          <w:numId w:val="4"/>
        </w:numPr>
        <w:spacing w:line="360" w:lineRule="auto"/>
        <w:jc w:val="both"/>
      </w:pPr>
      <w:r w:rsidRPr="00C47374">
        <w:t>All pregnant women – HTS module should ensure that all pregnant women are appropriately and completely tested in the system</w:t>
      </w:r>
    </w:p>
    <w:p w:rsidR="00EF0EFF" w:rsidRDefault="00100D1F" w:rsidP="00C47374">
      <w:pPr>
        <w:pStyle w:val="ListParagraph"/>
        <w:numPr>
          <w:ilvl w:val="1"/>
          <w:numId w:val="4"/>
        </w:numPr>
        <w:spacing w:line="360" w:lineRule="auto"/>
        <w:jc w:val="both"/>
      </w:pPr>
      <w:r w:rsidRPr="00C47374">
        <w:t>All new infants – HTS module should be able to capture early infant diagnosis</w:t>
      </w:r>
    </w:p>
    <w:p w:rsidR="00616982" w:rsidRPr="00C47374" w:rsidRDefault="00616982" w:rsidP="00EF0EFF"/>
    <w:p w:rsidR="00EF0EFF" w:rsidRDefault="00EF0EFF">
      <w:pPr>
        <w:rPr>
          <w:b/>
        </w:rPr>
      </w:pPr>
      <w:r>
        <w:rPr>
          <w:b/>
        </w:rPr>
        <w:br w:type="page"/>
      </w:r>
    </w:p>
    <w:p w:rsidR="00340CD2" w:rsidRDefault="00323149" w:rsidP="00C47374">
      <w:pPr>
        <w:pStyle w:val="ListParagraph"/>
        <w:numPr>
          <w:ilvl w:val="0"/>
          <w:numId w:val="4"/>
        </w:numPr>
        <w:spacing w:line="360" w:lineRule="auto"/>
        <w:jc w:val="both"/>
      </w:pPr>
      <w:r w:rsidRPr="00C47374">
        <w:rPr>
          <w:b/>
        </w:rPr>
        <w:lastRenderedPageBreak/>
        <w:t>On Treatment (for Care &amp; Treatment module)</w:t>
      </w:r>
      <w:r w:rsidR="00D46382" w:rsidRPr="00C47374">
        <w:rPr>
          <w:b/>
        </w:rPr>
        <w:t xml:space="preserve"> </w:t>
      </w:r>
      <w:r w:rsidR="00427998">
        <w:t>–</w:t>
      </w:r>
      <w:r w:rsidR="00D46382" w:rsidRPr="00C47374">
        <w:t xml:space="preserve"> </w:t>
      </w:r>
      <w:r w:rsidR="00427998">
        <w:t>Clinical and Adherence Monitoring</w:t>
      </w:r>
    </w:p>
    <w:p w:rsidR="005C6995" w:rsidRDefault="005C6995" w:rsidP="005C6995">
      <w:pPr>
        <w:spacing w:line="360" w:lineRule="auto"/>
        <w:jc w:val="both"/>
      </w:pPr>
      <w:r>
        <w:t xml:space="preserve">Clinical assessment </w:t>
      </w:r>
      <w:r w:rsidR="00F8613C">
        <w:t xml:space="preserve">is used as </w:t>
      </w:r>
      <w:r>
        <w:t>the primary tool for monitoring HIV patients throughout the</w:t>
      </w:r>
      <w:r>
        <w:t xml:space="preserve"> </w:t>
      </w:r>
      <w:r>
        <w:t>HIV care continuum. Clinical and adherence assessments should be done 2 weeks, 1</w:t>
      </w:r>
      <w:r>
        <w:t xml:space="preserve"> </w:t>
      </w:r>
      <w:r>
        <w:t>month, 3 months, and 6 months after ART initiation and at least every 6-12 months</w:t>
      </w:r>
      <w:r>
        <w:t xml:space="preserve"> </w:t>
      </w:r>
      <w:r>
        <w:t>thereafter. More frequent clinical monitoring should be conducted for</w:t>
      </w:r>
      <w:r>
        <w:t xml:space="preserve"> </w:t>
      </w:r>
      <w:r>
        <w:t>patients presenting with advanced HIV disease, those with poor ART adherence</w:t>
      </w:r>
      <w:r>
        <w:t xml:space="preserve"> </w:t>
      </w:r>
      <w:r>
        <w:t>and/or treatment failure, pregnant and breastfeeding women, and HIV-infected</w:t>
      </w:r>
      <w:r>
        <w:t xml:space="preserve"> </w:t>
      </w:r>
      <w:r>
        <w:t>children and adolescents.</w:t>
      </w:r>
    </w:p>
    <w:p w:rsidR="00AE49E0" w:rsidRPr="0040026A" w:rsidRDefault="00B521B1" w:rsidP="005C6995">
      <w:pPr>
        <w:spacing w:line="360" w:lineRule="auto"/>
        <w:jc w:val="both"/>
        <w:rPr>
          <w:b/>
          <w:bCs/>
          <w:i/>
          <w:iCs/>
        </w:rPr>
      </w:pPr>
      <w:r w:rsidRPr="0040026A">
        <w:rPr>
          <w:b/>
          <w:bCs/>
          <w:i/>
          <w:iCs/>
        </w:rPr>
        <w:t xml:space="preserve">Fig. 1: </w:t>
      </w:r>
      <w:r w:rsidR="00AE49E0" w:rsidRPr="0040026A">
        <w:rPr>
          <w:b/>
          <w:bCs/>
          <w:i/>
          <w:iCs/>
        </w:rPr>
        <w:t>Typical monitoring schedule for Patient</w:t>
      </w:r>
      <w:r w:rsidR="008F737B">
        <w:rPr>
          <w:b/>
          <w:bCs/>
          <w:i/>
          <w:iCs/>
        </w:rPr>
        <w:t>s</w:t>
      </w:r>
      <w:r w:rsidR="00AE49E0" w:rsidRPr="0040026A">
        <w:rPr>
          <w:b/>
          <w:bCs/>
          <w:i/>
          <w:iCs/>
        </w:rPr>
        <w:t xml:space="preserve"> on Antiretroviral Therapy</w:t>
      </w:r>
    </w:p>
    <w:p w:rsidR="00AE49E0" w:rsidRDefault="00F951DB" w:rsidP="005C6995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943600" cy="36144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nitoring schedule for Patients on Antiretrovial Thera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4B6" w:rsidRPr="000544B6" w:rsidRDefault="000544B6" w:rsidP="005C6995">
      <w:pPr>
        <w:spacing w:line="360" w:lineRule="auto"/>
        <w:jc w:val="both"/>
        <w:rPr>
          <w:b/>
          <w:bCs/>
        </w:rPr>
      </w:pPr>
      <w:r w:rsidRPr="000544B6">
        <w:rPr>
          <w:b/>
          <w:bCs/>
        </w:rPr>
        <w:t>System Alerts Required</w:t>
      </w:r>
    </w:p>
    <w:p w:rsidR="00012931" w:rsidRPr="00C47374" w:rsidRDefault="007D2546" w:rsidP="00006D76">
      <w:pPr>
        <w:pStyle w:val="ListParagraph"/>
        <w:numPr>
          <w:ilvl w:val="1"/>
          <w:numId w:val="4"/>
        </w:numPr>
        <w:spacing w:line="360" w:lineRule="auto"/>
        <w:jc w:val="both"/>
      </w:pPr>
      <w:r w:rsidRPr="00C47374">
        <w:t>Alert</w:t>
      </w:r>
      <w:r w:rsidR="00006D76">
        <w:t>s</w:t>
      </w:r>
      <w:r w:rsidRPr="00C47374">
        <w:t xml:space="preserve"> to remind clinician to draw blood for various tests</w:t>
      </w:r>
      <w:r w:rsidR="00006D76">
        <w:t xml:space="preserve"> (CD4, FBC, ALT, VL, Hb, Urine, Creatinine etc.)</w:t>
      </w:r>
      <w:r w:rsidRPr="00C47374">
        <w:t xml:space="preserve"> for ART client</w:t>
      </w:r>
      <w:r w:rsidR="002546DB">
        <w:t>s</w:t>
      </w:r>
      <w:r w:rsidRPr="00C47374">
        <w:t xml:space="preserve"> as well as HEI based on guidance from the ART treatment guidelines</w:t>
      </w:r>
      <w:r w:rsidR="002546DB">
        <w:t xml:space="preserve"> (see Fig 1.)</w:t>
      </w:r>
    </w:p>
    <w:p w:rsidR="00423062" w:rsidRPr="00C47374" w:rsidRDefault="007D2546" w:rsidP="005A1D96">
      <w:pPr>
        <w:pStyle w:val="ListParagraph"/>
        <w:numPr>
          <w:ilvl w:val="1"/>
          <w:numId w:val="4"/>
        </w:numPr>
        <w:spacing w:line="360" w:lineRule="auto"/>
        <w:jc w:val="both"/>
      </w:pPr>
      <w:r w:rsidRPr="00C47374">
        <w:t>Alert</w:t>
      </w:r>
      <w:r w:rsidR="0042485C">
        <w:t>s</w:t>
      </w:r>
      <w:r w:rsidRPr="00C47374">
        <w:t xml:space="preserve"> to remind clinician to screen for </w:t>
      </w:r>
      <w:r w:rsidR="00B76F30" w:rsidRPr="00C47374">
        <w:t>Cervical Cancer</w:t>
      </w:r>
      <w:r w:rsidRPr="00C47374">
        <w:t xml:space="preserve"> for eligible women based on guidance from the ART treatment guidelines</w:t>
      </w:r>
    </w:p>
    <w:p w:rsidR="007D2546" w:rsidRPr="00C47374" w:rsidRDefault="007D2546" w:rsidP="00C47374">
      <w:pPr>
        <w:pStyle w:val="ListParagraph"/>
        <w:numPr>
          <w:ilvl w:val="1"/>
          <w:numId w:val="4"/>
        </w:numPr>
        <w:spacing w:line="360" w:lineRule="auto"/>
        <w:jc w:val="both"/>
      </w:pPr>
      <w:r w:rsidRPr="00C47374">
        <w:t>Alert</w:t>
      </w:r>
      <w:r w:rsidR="002A68FA">
        <w:t>s</w:t>
      </w:r>
      <w:r w:rsidRPr="00C47374">
        <w:t xml:space="preserve"> to remind clinician to capture intake information (both counselor and clinician forms)</w:t>
      </w:r>
    </w:p>
    <w:p w:rsidR="004C2C60" w:rsidRPr="002045B1" w:rsidRDefault="009705FC" w:rsidP="002045B1">
      <w:pPr>
        <w:pStyle w:val="ListParagraph"/>
        <w:numPr>
          <w:ilvl w:val="2"/>
          <w:numId w:val="4"/>
        </w:numPr>
        <w:spacing w:line="360" w:lineRule="auto"/>
        <w:jc w:val="both"/>
        <w:rPr>
          <w:b/>
        </w:rPr>
      </w:pPr>
      <w:r w:rsidRPr="00C47374">
        <w:t>Data quality and completeness of recording for clients already on ART.</w:t>
      </w:r>
      <w:r w:rsidR="004C2C60" w:rsidRPr="002045B1">
        <w:rPr>
          <w:b/>
        </w:rPr>
        <w:br w:type="page"/>
      </w:r>
    </w:p>
    <w:p w:rsidR="008E368A" w:rsidRDefault="00323149" w:rsidP="008E368A">
      <w:pPr>
        <w:pStyle w:val="ListParagraph"/>
        <w:numPr>
          <w:ilvl w:val="0"/>
          <w:numId w:val="4"/>
        </w:numPr>
        <w:spacing w:line="360" w:lineRule="auto"/>
        <w:jc w:val="both"/>
        <w:rPr>
          <w:b/>
        </w:rPr>
      </w:pPr>
      <w:r w:rsidRPr="00C47374">
        <w:rPr>
          <w:b/>
        </w:rPr>
        <w:lastRenderedPageBreak/>
        <w:t xml:space="preserve">Viral Load Testing (for Care &amp; Treatment module) </w:t>
      </w:r>
    </w:p>
    <w:p w:rsidR="008E368A" w:rsidRDefault="008E368A" w:rsidP="00261157">
      <w:pPr>
        <w:spacing w:line="360" w:lineRule="auto"/>
        <w:jc w:val="both"/>
      </w:pPr>
      <w:r>
        <w:t xml:space="preserve">Viral load monitoring is </w:t>
      </w:r>
      <w:r>
        <w:t xml:space="preserve">now </w:t>
      </w:r>
      <w:r>
        <w:t>the preferred lab test for monitoring the success of ART and</w:t>
      </w:r>
      <w:r>
        <w:t xml:space="preserve"> </w:t>
      </w:r>
      <w:r>
        <w:t>evaluation of treatment failure</w:t>
      </w:r>
      <w:r>
        <w:t xml:space="preserve">. </w:t>
      </w:r>
      <w:r>
        <w:t>Viral load should be measured 6 and 12 months after ART initiation and annually</w:t>
      </w:r>
      <w:r>
        <w:t xml:space="preserve"> </w:t>
      </w:r>
      <w:r>
        <w:t>thereafter</w:t>
      </w:r>
      <w:r w:rsidR="00DA59FA">
        <w:t xml:space="preserve"> (see </w:t>
      </w:r>
      <w:r w:rsidR="006A7DBC">
        <w:t>Fig</w:t>
      </w:r>
      <w:r w:rsidR="009620B5">
        <w:t>.</w:t>
      </w:r>
      <w:r w:rsidR="006A7DBC">
        <w:t xml:space="preserve"> 1 &amp; </w:t>
      </w:r>
      <w:r w:rsidR="00DA59FA">
        <w:t>Fig. 2)</w:t>
      </w:r>
      <w:r w:rsidR="00535B44">
        <w:t xml:space="preserve">. </w:t>
      </w:r>
      <w:r w:rsidR="00261157">
        <w:t>The viral load usually decreases to undetectable levels in the blood (&lt; 40 copies/ml) within six</w:t>
      </w:r>
      <w:r w:rsidR="00261157">
        <w:t xml:space="preserve"> </w:t>
      </w:r>
      <w:r w:rsidR="00261157">
        <w:t>months of 95-105% adherence to ART. The viral load measurement is the most accurate</w:t>
      </w:r>
      <w:r w:rsidR="00261157">
        <w:t xml:space="preserve"> </w:t>
      </w:r>
      <w:r w:rsidR="00261157">
        <w:t>method for assessing treatment failure. Any viral load ≥ 1000 copies/ml must stimulate a</w:t>
      </w:r>
      <w:r w:rsidR="00261157">
        <w:t xml:space="preserve"> </w:t>
      </w:r>
      <w:r w:rsidR="00261157">
        <w:t>thorough review</w:t>
      </w:r>
      <w:r w:rsidR="00322837">
        <w:t>.</w:t>
      </w:r>
    </w:p>
    <w:p w:rsidR="005A0703" w:rsidRPr="00102FB8" w:rsidRDefault="005A0703" w:rsidP="004C2C60">
      <w:pPr>
        <w:spacing w:line="360" w:lineRule="auto"/>
        <w:jc w:val="both"/>
        <w:rPr>
          <w:b/>
          <w:bCs/>
        </w:rPr>
      </w:pPr>
      <w:r w:rsidRPr="00102FB8">
        <w:rPr>
          <w:b/>
          <w:bCs/>
        </w:rPr>
        <w:t xml:space="preserve">Schedule for </w:t>
      </w:r>
      <w:r w:rsidR="00102FB8">
        <w:rPr>
          <w:b/>
          <w:bCs/>
        </w:rPr>
        <w:t xml:space="preserve">VL </w:t>
      </w:r>
      <w:r w:rsidR="00C91A8B">
        <w:rPr>
          <w:b/>
          <w:bCs/>
        </w:rPr>
        <w:t>A</w:t>
      </w:r>
      <w:r w:rsidRPr="00102FB8">
        <w:rPr>
          <w:b/>
          <w:bCs/>
        </w:rPr>
        <w:t>lerts:</w:t>
      </w:r>
    </w:p>
    <w:p w:rsidR="00775749" w:rsidRDefault="00F37301" w:rsidP="004C2C60">
      <w:pPr>
        <w:pStyle w:val="ListParagraph"/>
        <w:numPr>
          <w:ilvl w:val="0"/>
          <w:numId w:val="12"/>
        </w:numPr>
        <w:spacing w:line="360" w:lineRule="auto"/>
        <w:jc w:val="both"/>
      </w:pPr>
      <w:r>
        <w:t>VL</w:t>
      </w:r>
      <w:r w:rsidR="004C2C60">
        <w:t xml:space="preserve"> should be tested 6 and 12 months after initiating ART and then annually</w:t>
      </w:r>
      <w:r w:rsidR="00F057FE">
        <w:t xml:space="preserve"> </w:t>
      </w:r>
      <w:r w:rsidR="004C2C60">
        <w:t>thereafter to detect treatment failure</w:t>
      </w:r>
    </w:p>
    <w:p w:rsidR="00504C64" w:rsidRDefault="004C2C60" w:rsidP="004C2C60">
      <w:pPr>
        <w:pStyle w:val="ListParagraph"/>
        <w:numPr>
          <w:ilvl w:val="0"/>
          <w:numId w:val="12"/>
        </w:numPr>
        <w:spacing w:line="360" w:lineRule="auto"/>
        <w:jc w:val="both"/>
      </w:pPr>
      <w:r>
        <w:t>Pregnant and breastfeeding women and children &lt;5 years should continue to have</w:t>
      </w:r>
      <w:r w:rsidR="00775749">
        <w:t xml:space="preserve"> </w:t>
      </w:r>
      <w:r>
        <w:t xml:space="preserve">their </w:t>
      </w:r>
      <w:r w:rsidR="00775749">
        <w:t>VL</w:t>
      </w:r>
      <w:r>
        <w:t xml:space="preserve"> checked every 6 months due to their higher risk of treatment failure</w:t>
      </w:r>
    </w:p>
    <w:p w:rsidR="00284F69" w:rsidRDefault="001033BA" w:rsidP="004C2C60">
      <w:pPr>
        <w:pStyle w:val="ListParagraph"/>
        <w:numPr>
          <w:ilvl w:val="0"/>
          <w:numId w:val="12"/>
        </w:numPr>
        <w:spacing w:line="360" w:lineRule="auto"/>
        <w:jc w:val="both"/>
      </w:pPr>
      <w:r>
        <w:t>VL should be c</w:t>
      </w:r>
      <w:r w:rsidR="004C2C60">
        <w:t>heck</w:t>
      </w:r>
      <w:r>
        <w:t>ed</w:t>
      </w:r>
      <w:r w:rsidR="004C2C60">
        <w:t xml:space="preserve"> 6 and 12 months after switching a patient to second</w:t>
      </w:r>
      <w:r w:rsidR="00E46154">
        <w:t xml:space="preserve"> </w:t>
      </w:r>
      <w:r w:rsidR="004C2C60">
        <w:t xml:space="preserve">line or </w:t>
      </w:r>
      <w:r w:rsidR="00E46154">
        <w:t>third line</w:t>
      </w:r>
      <w:r w:rsidR="007811DA">
        <w:t xml:space="preserve"> </w:t>
      </w:r>
      <w:r w:rsidR="004C2C60">
        <w:t>ART</w:t>
      </w:r>
      <w:r w:rsidR="00D40CDF">
        <w:t xml:space="preserve"> and annually thereafter</w:t>
      </w:r>
    </w:p>
    <w:p w:rsidR="002E63B4" w:rsidRDefault="00CA352B" w:rsidP="002E63B4">
      <w:pPr>
        <w:pStyle w:val="ListParagraph"/>
        <w:numPr>
          <w:ilvl w:val="0"/>
          <w:numId w:val="12"/>
        </w:numPr>
        <w:spacing w:line="360" w:lineRule="auto"/>
        <w:jc w:val="both"/>
      </w:pPr>
      <w:r>
        <w:t>Every</w:t>
      </w:r>
      <w:r w:rsidR="004C2C60">
        <w:t xml:space="preserve"> </w:t>
      </w:r>
      <w:r w:rsidR="00295C35">
        <w:t xml:space="preserve">VL </w:t>
      </w:r>
      <w:r w:rsidR="004C2C60">
        <w:t>≥</w:t>
      </w:r>
      <w:r w:rsidR="00295C35">
        <w:t xml:space="preserve"> </w:t>
      </w:r>
      <w:r w:rsidR="004C2C60">
        <w:t xml:space="preserve">1000 copies/ml </w:t>
      </w:r>
      <w:r>
        <w:t xml:space="preserve">should be followed up </w:t>
      </w:r>
      <w:r w:rsidR="004C2C60">
        <w:t xml:space="preserve">with a repeat </w:t>
      </w:r>
      <w:r w:rsidR="00284F69">
        <w:t>VL</w:t>
      </w:r>
      <w:r w:rsidR="004C2C60">
        <w:t xml:space="preserve"> approximately 8-12</w:t>
      </w:r>
      <w:r w:rsidR="00284F69">
        <w:t xml:space="preserve"> </w:t>
      </w:r>
      <w:r w:rsidR="004C2C60">
        <w:t>weeks after initiating enhanced adherence counselling</w:t>
      </w:r>
    </w:p>
    <w:p w:rsidR="00092835" w:rsidRPr="00092835" w:rsidRDefault="00092835" w:rsidP="00092835">
      <w:pPr>
        <w:spacing w:line="360" w:lineRule="auto"/>
        <w:jc w:val="both"/>
        <w:rPr>
          <w:b/>
          <w:bCs/>
          <w:i/>
          <w:iCs/>
        </w:rPr>
      </w:pPr>
      <w:r w:rsidRPr="00092835">
        <w:rPr>
          <w:b/>
          <w:bCs/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382DAE7E">
            <wp:simplePos x="0" y="0"/>
            <wp:positionH relativeFrom="column">
              <wp:posOffset>-175846</wp:posOffset>
            </wp:positionH>
            <wp:positionV relativeFrom="paragraph">
              <wp:posOffset>287899</wp:posOffset>
            </wp:positionV>
            <wp:extent cx="3241431" cy="3864090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4" cy="387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835">
        <w:rPr>
          <w:b/>
          <w:bCs/>
          <w:i/>
          <w:iCs/>
        </w:rPr>
        <w:t>Fig. 2: Viral Load Testing Algorithm</w:t>
      </w:r>
    </w:p>
    <w:p w:rsidR="009C7CE4" w:rsidRPr="002E63B4" w:rsidRDefault="002E63B4" w:rsidP="00952639">
      <w:pPr>
        <w:pStyle w:val="Heading2"/>
        <w:rPr>
          <w:sz w:val="22"/>
          <w:szCs w:val="22"/>
        </w:rPr>
      </w:pPr>
      <w:r>
        <w:br w:type="page"/>
      </w:r>
      <w:r w:rsidR="009C7CE4" w:rsidRPr="009C7CE4">
        <w:lastRenderedPageBreak/>
        <w:t>Business Process Approach</w:t>
      </w:r>
    </w:p>
    <w:p w:rsidR="00A57AAA" w:rsidRPr="00C47374" w:rsidRDefault="00871F69" w:rsidP="00A57AAA">
      <w:pPr>
        <w:spacing w:line="360" w:lineRule="auto"/>
        <w:jc w:val="both"/>
      </w:pPr>
      <w:r w:rsidRPr="00C47374">
        <w:t>Ideally the alerts should fire based on the stage the client is on along the relevant business process</w:t>
      </w:r>
      <w:r w:rsidR="00515AF4">
        <w:t xml:space="preserve"> (and </w:t>
      </w:r>
      <w:r w:rsidR="00BD4B78">
        <w:t>r</w:t>
      </w:r>
      <w:r w:rsidR="00515AF4">
        <w:t>ole of Provider)</w:t>
      </w:r>
      <w:r w:rsidRPr="00C47374">
        <w:t xml:space="preserve"> as they are receiving services at point of care</w:t>
      </w:r>
      <w:r w:rsidR="00885E9C" w:rsidRPr="00C47374">
        <w:t xml:space="preserve">. </w:t>
      </w:r>
      <w:r w:rsidR="00C343EE" w:rsidRPr="00C47374">
        <w:t>All</w:t>
      </w:r>
      <w:r w:rsidR="00885E9C" w:rsidRPr="00C47374">
        <w:t xml:space="preserve"> conditions </w:t>
      </w:r>
      <w:r w:rsidR="003C6A2B">
        <w:t xml:space="preserve">including those dictated by the clinical guidelines </w:t>
      </w:r>
      <w:r w:rsidR="00885E9C" w:rsidRPr="00C47374">
        <w:t xml:space="preserve">should be used as inputs to the </w:t>
      </w:r>
      <w:r w:rsidR="004A1F77">
        <w:t>CDS</w:t>
      </w:r>
      <w:r w:rsidR="00885E9C" w:rsidRPr="00C47374">
        <w:t xml:space="preserve"> rule</w:t>
      </w:r>
      <w:r w:rsidR="004A1F77">
        <w:t>s</w:t>
      </w:r>
      <w:r w:rsidR="00885E9C" w:rsidRPr="00C47374">
        <w:t xml:space="preserve"> engine</w:t>
      </w:r>
      <w:r w:rsidR="004A1F77">
        <w:t>.</w:t>
      </w:r>
      <w:r w:rsidR="00885E9C" w:rsidRPr="00C47374">
        <w:t xml:space="preserve"> </w:t>
      </w:r>
      <w:r w:rsidR="004A1F77">
        <w:t>As</w:t>
      </w:r>
      <w:r w:rsidR="00885E9C" w:rsidRPr="00C47374">
        <w:t xml:space="preserve"> output</w:t>
      </w:r>
      <w:r w:rsidR="00110240">
        <w:t>s</w:t>
      </w:r>
      <w:r w:rsidR="00885E9C" w:rsidRPr="00C47374">
        <w:t xml:space="preserve"> the </w:t>
      </w:r>
      <w:r w:rsidR="00FE5D33">
        <w:t xml:space="preserve">CDS </w:t>
      </w:r>
      <w:r w:rsidR="00885E9C" w:rsidRPr="00C47374">
        <w:t xml:space="preserve">rules engine </w:t>
      </w:r>
      <w:r w:rsidR="004A1F77">
        <w:t>should respond with</w:t>
      </w:r>
      <w:r w:rsidR="00885E9C" w:rsidRPr="00C47374">
        <w:t xml:space="preserve"> the latest </w:t>
      </w:r>
      <w:r w:rsidR="00860B4A">
        <w:t xml:space="preserve">active and </w:t>
      </w:r>
      <w:r w:rsidR="00885E9C" w:rsidRPr="00C47374">
        <w:t>relevant guideline</w:t>
      </w:r>
      <w:r w:rsidR="00860B4A">
        <w:t>s</w:t>
      </w:r>
      <w:r w:rsidR="00885E9C" w:rsidRPr="00C47374">
        <w:t xml:space="preserve"> for treating the patient</w:t>
      </w:r>
      <w:r w:rsidR="00C47593" w:rsidRPr="00C47374">
        <w:t>. The Bahmni system should use this response</w:t>
      </w:r>
      <w:r w:rsidR="00B61274" w:rsidRPr="00C47374">
        <w:t>, the type of alert</w:t>
      </w:r>
      <w:r w:rsidR="00C47593" w:rsidRPr="00C47374">
        <w:t xml:space="preserve"> and the priority</w:t>
      </w:r>
      <w:r w:rsidR="00B61274" w:rsidRPr="00C47374">
        <w:t xml:space="preserve"> of the alert</w:t>
      </w:r>
      <w:r w:rsidR="00024157">
        <w:t xml:space="preserve"> for</w:t>
      </w:r>
      <w:r w:rsidR="00B61274" w:rsidRPr="00C47374">
        <w:t xml:space="preserve"> </w:t>
      </w:r>
      <w:r w:rsidR="00C47593" w:rsidRPr="00C47374">
        <w:t>display</w:t>
      </w:r>
      <w:r w:rsidR="00024157">
        <w:t>ing</w:t>
      </w:r>
      <w:r w:rsidR="00C47593" w:rsidRPr="00C47374">
        <w:t xml:space="preserve"> the alert appropriately</w:t>
      </w:r>
      <w:r w:rsidR="00EC41BE" w:rsidRPr="00C47374">
        <w:t xml:space="preserve"> to the provider</w:t>
      </w:r>
      <w:r w:rsidR="00F72657" w:rsidRPr="00C47374">
        <w:t xml:space="preserve"> i.e. Pop-up message</w:t>
      </w:r>
      <w:r w:rsidR="00706443">
        <w:t>s</w:t>
      </w:r>
      <w:r w:rsidR="00F72657" w:rsidRPr="00C47374">
        <w:t xml:space="preserve">, </w:t>
      </w:r>
      <w:r w:rsidR="004507C8">
        <w:t>c</w:t>
      </w:r>
      <w:r w:rsidR="00F72657" w:rsidRPr="00C47374">
        <w:t>olor-coded list widget on the patient dashboard</w:t>
      </w:r>
      <w:r w:rsidR="00250558" w:rsidRPr="00C47374">
        <w:t>, icon based alerts on patient queue OR detailed message module having an entire list of alerts</w:t>
      </w:r>
      <w:r w:rsidR="00592171" w:rsidRPr="00C47374">
        <w:t xml:space="preserve"> with descriptions for the client.</w:t>
      </w:r>
      <w:r w:rsidR="002F56B1" w:rsidRPr="00C47374">
        <w:t xml:space="preserve"> Below is an example of a process for ART clients coming for a follow up and drug refill visit</w:t>
      </w:r>
      <w:r w:rsidR="004507C8">
        <w:t xml:space="preserve"> with alerts for different providers at each service point</w:t>
      </w:r>
      <w:r w:rsidR="009B2726">
        <w:t>.</w:t>
      </w:r>
    </w:p>
    <w:p w:rsidR="00383E98" w:rsidRDefault="00A57AAA" w:rsidP="00A57A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19E2" w:rsidRDefault="00BF19E2" w:rsidP="008B3D41">
      <w:pPr>
        <w:pStyle w:val="Heading2"/>
        <w:numPr>
          <w:ilvl w:val="0"/>
          <w:numId w:val="9"/>
        </w:numPr>
        <w:sectPr w:rsidR="00BF19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CE4" w:rsidRDefault="00E679A0" w:rsidP="00952639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2927838</wp:posOffset>
                </wp:positionH>
                <wp:positionV relativeFrom="paragraph">
                  <wp:posOffset>-315058</wp:posOffset>
                </wp:positionV>
                <wp:extent cx="2705100" cy="1346200"/>
                <wp:effectExtent l="190500" t="19050" r="38100" b="4445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46200"/>
                        </a:xfrm>
                        <a:prstGeom prst="wedgeEllipseCallout">
                          <a:avLst>
                            <a:gd name="adj1" fmla="val -56079"/>
                            <a:gd name="adj2" fmla="val 49813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039" w:rsidRPr="001B4A7E" w:rsidRDefault="001B4A7E" w:rsidP="001B4A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4A7E">
                              <w:rPr>
                                <w:sz w:val="20"/>
                                <w:szCs w:val="20"/>
                              </w:rPr>
                              <w:t>Recent initiation OR Treatment Switch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/Sub</w:t>
                            </w:r>
                            <w:r w:rsidR="00BA2EB5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D003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B4A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7039">
                              <w:rPr>
                                <w:sz w:val="20"/>
                                <w:szCs w:val="20"/>
                              </w:rPr>
                              <w:t>Alert</w:t>
                            </w:r>
                            <w:r w:rsidR="00915C1F">
                              <w:rPr>
                                <w:sz w:val="20"/>
                                <w:szCs w:val="20"/>
                              </w:rPr>
                              <w:t>/Remind</w:t>
                            </w:r>
                            <w:r w:rsidR="002470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557E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331264">
                              <w:rPr>
                                <w:sz w:val="20"/>
                                <w:szCs w:val="20"/>
                              </w:rPr>
                              <w:t xml:space="preserve">lood </w:t>
                            </w:r>
                            <w:r w:rsidRPr="001B4A7E">
                              <w:rPr>
                                <w:sz w:val="20"/>
                                <w:szCs w:val="20"/>
                              </w:rPr>
                              <w:t xml:space="preserve">draw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(VL)</w:t>
                            </w:r>
                            <w:r w:rsidR="00EF7AC3">
                              <w:rPr>
                                <w:sz w:val="20"/>
                                <w:szCs w:val="20"/>
                              </w:rPr>
                              <w:t xml:space="preserve"> visit</w:t>
                            </w:r>
                            <w:r w:rsidR="000132AB">
                              <w:rPr>
                                <w:sz w:val="20"/>
                                <w:szCs w:val="20"/>
                              </w:rPr>
                              <w:t xml:space="preserve"> type</w:t>
                            </w:r>
                            <w:r w:rsidRPr="001B4A7E">
                              <w:rPr>
                                <w:sz w:val="20"/>
                                <w:szCs w:val="20"/>
                              </w:rPr>
                              <w:t xml:space="preserve"> every six months</w:t>
                            </w:r>
                            <w:r w:rsidR="00DE6E82">
                              <w:rPr>
                                <w:sz w:val="20"/>
                                <w:szCs w:val="20"/>
                              </w:rPr>
                              <w:t xml:space="preserve"> in 1</w:t>
                            </w:r>
                            <w:r w:rsidR="00DE6E82" w:rsidRPr="00DE6E82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DE6E82">
                              <w:rPr>
                                <w:sz w:val="20"/>
                                <w:szCs w:val="20"/>
                              </w:rPr>
                              <w:t xml:space="preserve"> year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then annually 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margin-left:230.55pt;margin-top:-24.8pt;width:213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" adj="-1313,21560" fillcolor="#ed7d31 [3205]" strokecolor="#823b0b [1605]" strokeweight="1pt">
                <v:textbox>
                  <w:txbxContent>
                    <w:p w:rsidR="00247039" w:rsidRPr="001B4A7E" w:rsidRDefault="001B4A7E" w:rsidP="001B4A7E">
                      <w:pPr>
                        <w:rPr>
                          <w:sz w:val="20"/>
                          <w:szCs w:val="20"/>
                        </w:rPr>
                      </w:pPr>
                      <w:r w:rsidRPr="001B4A7E">
                        <w:rPr>
                          <w:sz w:val="20"/>
                          <w:szCs w:val="20"/>
                        </w:rPr>
                        <w:t>Recent initiation OR Treatment Switch</w:t>
                      </w:r>
                      <w:r>
                        <w:rPr>
                          <w:sz w:val="20"/>
                          <w:szCs w:val="20"/>
                        </w:rPr>
                        <w:t>/Sub</w:t>
                      </w:r>
                      <w:r w:rsidR="00BA2EB5">
                        <w:rPr>
                          <w:sz w:val="20"/>
                          <w:szCs w:val="20"/>
                        </w:rPr>
                        <w:t>s</w:t>
                      </w:r>
                      <w:r w:rsidR="007D003D">
                        <w:rPr>
                          <w:sz w:val="20"/>
                          <w:szCs w:val="20"/>
                        </w:rPr>
                        <w:t>:</w:t>
                      </w:r>
                      <w:r w:rsidRPr="001B4A7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47039">
                        <w:rPr>
                          <w:sz w:val="20"/>
                          <w:szCs w:val="20"/>
                        </w:rPr>
                        <w:t>Alert</w:t>
                      </w:r>
                      <w:r w:rsidR="00915C1F">
                        <w:rPr>
                          <w:sz w:val="20"/>
                          <w:szCs w:val="20"/>
                        </w:rPr>
                        <w:t>/Remind</w:t>
                      </w:r>
                      <w:r w:rsidR="002470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7557E">
                        <w:rPr>
                          <w:sz w:val="20"/>
                          <w:szCs w:val="20"/>
                        </w:rPr>
                        <w:t>B</w:t>
                      </w:r>
                      <w:r w:rsidR="00331264">
                        <w:rPr>
                          <w:sz w:val="20"/>
                          <w:szCs w:val="20"/>
                        </w:rPr>
                        <w:t xml:space="preserve">lood </w:t>
                      </w:r>
                      <w:r w:rsidRPr="001B4A7E">
                        <w:rPr>
                          <w:sz w:val="20"/>
                          <w:szCs w:val="20"/>
                        </w:rPr>
                        <w:t xml:space="preserve">draw </w:t>
                      </w:r>
                      <w:r>
                        <w:rPr>
                          <w:sz w:val="20"/>
                          <w:szCs w:val="20"/>
                        </w:rPr>
                        <w:t>(VL)</w:t>
                      </w:r>
                      <w:r w:rsidR="00EF7AC3">
                        <w:rPr>
                          <w:sz w:val="20"/>
                          <w:szCs w:val="20"/>
                        </w:rPr>
                        <w:t xml:space="preserve"> visit</w:t>
                      </w:r>
                      <w:r w:rsidR="000132AB">
                        <w:rPr>
                          <w:sz w:val="20"/>
                          <w:szCs w:val="20"/>
                        </w:rPr>
                        <w:t xml:space="preserve"> type</w:t>
                      </w:r>
                      <w:r w:rsidRPr="001B4A7E">
                        <w:rPr>
                          <w:sz w:val="20"/>
                          <w:szCs w:val="20"/>
                        </w:rPr>
                        <w:t xml:space="preserve"> every six months</w:t>
                      </w:r>
                      <w:r w:rsidR="00DE6E82">
                        <w:rPr>
                          <w:sz w:val="20"/>
                          <w:szCs w:val="20"/>
                        </w:rPr>
                        <w:t xml:space="preserve"> in 1</w:t>
                      </w:r>
                      <w:r w:rsidR="00DE6E82" w:rsidRPr="00DE6E82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DE6E82">
                        <w:rPr>
                          <w:sz w:val="20"/>
                          <w:szCs w:val="20"/>
                        </w:rPr>
                        <w:t xml:space="preserve"> year</w:t>
                      </w:r>
                      <w:r>
                        <w:rPr>
                          <w:sz w:val="20"/>
                          <w:szCs w:val="20"/>
                        </w:rPr>
                        <w:t>, then annually after</w:t>
                      </w:r>
                    </w:p>
                  </w:txbxContent>
                </v:textbox>
              </v:shape>
            </w:pict>
          </mc:Fallback>
        </mc:AlternateContent>
      </w:r>
      <w:r w:rsidR="009B30F9">
        <w:t xml:space="preserve">Routine ARV </w:t>
      </w:r>
      <w:r w:rsidR="00381E4B">
        <w:t>Drug</w:t>
      </w:r>
      <w:r w:rsidR="009B30F9">
        <w:t xml:space="preserve"> Refill</w:t>
      </w:r>
      <w:r w:rsidR="00B67C2A">
        <w:t xml:space="preserve"> – VL Alert</w:t>
      </w:r>
    </w:p>
    <w:p w:rsidR="00A01D38" w:rsidRDefault="006355A9" w:rsidP="00A01D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E20F5" wp14:editId="254358C8">
                <wp:simplePos x="0" y="0"/>
                <wp:positionH relativeFrom="margin">
                  <wp:posOffset>6455019</wp:posOffset>
                </wp:positionH>
                <wp:positionV relativeFrom="paragraph">
                  <wp:posOffset>1850830</wp:posOffset>
                </wp:positionV>
                <wp:extent cx="2443480" cy="1235075"/>
                <wp:effectExtent l="76200" t="19050" r="33020" b="41275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235075"/>
                        </a:xfrm>
                        <a:prstGeom prst="wedgeEllipseCallout">
                          <a:avLst>
                            <a:gd name="adj1" fmla="val -51726"/>
                            <a:gd name="adj2" fmla="val 50451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5A9" w:rsidRPr="001B4A7E" w:rsidRDefault="006355A9" w:rsidP="006355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Alert/Remind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Nurse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Consultation Room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check VL Test Results for recent VL Blood 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20F5" id="Speech Bubble: Oval 6" o:spid="_x0000_s1027" type="#_x0000_t63" style="position:absolute;margin-left:508.25pt;margin-top:145.75pt;width:192.4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" adj="-373,21697" fillcolor="#ed7d31 [3205]" strokecolor="#823b0b [1605]" strokeweight="1pt">
                <v:textbox>
                  <w:txbxContent>
                    <w:p w:rsidR="006355A9" w:rsidRPr="001B4A7E" w:rsidRDefault="006355A9" w:rsidP="006355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Alert/Remind </w:t>
                      </w:r>
                      <w:r>
                        <w:rPr>
                          <w:sz w:val="20"/>
                          <w:szCs w:val="20"/>
                        </w:rPr>
                        <w:t xml:space="preserve">ART </w:t>
                      </w:r>
                      <w:r>
                        <w:rPr>
                          <w:sz w:val="20"/>
                          <w:szCs w:val="20"/>
                        </w:rPr>
                        <w:t>Nurse (</w:t>
                      </w:r>
                      <w:r>
                        <w:rPr>
                          <w:sz w:val="20"/>
                          <w:szCs w:val="20"/>
                        </w:rPr>
                        <w:t>Consultation Room</w:t>
                      </w:r>
                      <w:r>
                        <w:rPr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sz w:val="20"/>
                          <w:szCs w:val="20"/>
                        </w:rPr>
                        <w:t>to check VL Test Results for recent VL Blood Draw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7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650F3" wp14:editId="282C51F2">
                <wp:simplePos x="0" y="0"/>
                <wp:positionH relativeFrom="margin">
                  <wp:posOffset>230065</wp:posOffset>
                </wp:positionH>
                <wp:positionV relativeFrom="paragraph">
                  <wp:posOffset>1264676</wp:posOffset>
                </wp:positionV>
                <wp:extent cx="2443480" cy="1235075"/>
                <wp:effectExtent l="19050" t="19050" r="223520" b="41275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235075"/>
                        </a:xfrm>
                        <a:prstGeom prst="wedgeEllipseCallout">
                          <a:avLst>
                            <a:gd name="adj1" fmla="val 56942"/>
                            <a:gd name="adj2" fmla="val 47604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77D" w:rsidRPr="001B4A7E" w:rsidRDefault="00E7477D" w:rsidP="00E747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Alert/Remind</w:t>
                            </w:r>
                            <w:r w:rsidR="00BD09B1">
                              <w:rPr>
                                <w:sz w:val="20"/>
                                <w:szCs w:val="20"/>
                              </w:rPr>
                              <w:t xml:space="preserve"> Nurse (Phlebotomy)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Blood </w:t>
                            </w:r>
                            <w:r w:rsidR="00BD09B1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raw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50F3" id="Speech Bubble: Oval 5" o:spid="_x0000_s1028" type="#_x0000_t63" style="position:absolute;margin-left:18.1pt;margin-top:99.6pt;width:192.4pt;height: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" adj="23099,21082" fillcolor="#ed7d31 [3205]" strokecolor="#823b0b [1605]" strokeweight="1pt">
                <v:textbox>
                  <w:txbxContent>
                    <w:p w:rsidR="00E7477D" w:rsidRPr="001B4A7E" w:rsidRDefault="00E7477D" w:rsidP="00E747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Alert/Remind</w:t>
                      </w:r>
                      <w:r w:rsidR="00BD09B1">
                        <w:rPr>
                          <w:sz w:val="20"/>
                          <w:szCs w:val="20"/>
                        </w:rPr>
                        <w:t xml:space="preserve"> Nurse (Phlebotomy)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that </w:t>
                      </w:r>
                      <w:r>
                        <w:rPr>
                          <w:sz w:val="20"/>
                          <w:szCs w:val="20"/>
                        </w:rPr>
                        <w:t>VL</w:t>
                      </w:r>
                      <w:r>
                        <w:rPr>
                          <w:sz w:val="20"/>
                          <w:szCs w:val="20"/>
                        </w:rPr>
                        <w:t xml:space="preserve"> Blood </w:t>
                      </w:r>
                      <w:r w:rsidR="00BD09B1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raw 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918" w:rsidRPr="009403F6">
        <w:rPr>
          <w:noProof/>
        </w:rPr>
        <w:drawing>
          <wp:anchor distT="0" distB="0" distL="114300" distR="114300" simplePos="0" relativeHeight="251658240" behindDoc="0" locked="0" layoutInCell="1" allowOverlap="1" wp14:anchorId="63211786">
            <wp:simplePos x="0" y="0"/>
            <wp:positionH relativeFrom="column">
              <wp:posOffset>0</wp:posOffset>
            </wp:positionH>
            <wp:positionV relativeFrom="paragraph">
              <wp:posOffset>-6734468</wp:posOffset>
            </wp:positionV>
            <wp:extent cx="6569620" cy="3341077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620" cy="334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9E2" w:rsidRPr="009403F6">
        <w:rPr>
          <w:noProof/>
        </w:rPr>
        <w:drawing>
          <wp:inline distT="0" distB="0" distL="0" distR="0" wp14:anchorId="63211786" wp14:editId="07905AD5">
            <wp:extent cx="8510954" cy="432837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172" cy="4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08" w:rsidRDefault="00ED5A08">
      <w:r>
        <w:br w:type="page"/>
      </w:r>
    </w:p>
    <w:p w:rsidR="007D0CA6" w:rsidRDefault="007D0CA6" w:rsidP="00A01D38">
      <w:pPr>
        <w:sectPr w:rsidR="007D0CA6" w:rsidSect="00BF19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D5A08" w:rsidRDefault="00C421EE" w:rsidP="00952639">
      <w:pPr>
        <w:pStyle w:val="Heading2"/>
      </w:pPr>
      <w:r>
        <w:lastRenderedPageBreak/>
        <w:t>Sample Alerts on Bahmni Point of Care Solution</w:t>
      </w:r>
    </w:p>
    <w:p w:rsidR="00952639" w:rsidRDefault="00952639" w:rsidP="00A01D38">
      <w:r>
        <w:t>Patient Queue Flags</w:t>
      </w:r>
    </w:p>
    <w:p w:rsidR="00DC41A0" w:rsidRDefault="001A2C11" w:rsidP="00A01D38">
      <w:r w:rsidRPr="001A2C11">
        <w:drawing>
          <wp:inline distT="0" distB="0" distL="0" distR="0" wp14:anchorId="682BB879" wp14:editId="691C134C">
            <wp:extent cx="4507523" cy="2951959"/>
            <wp:effectExtent l="0" t="0" r="7620" b="1270"/>
            <wp:docPr id="8" name="Picture 2" descr="image003">
              <a:extLst xmlns:a="http://schemas.openxmlformats.org/drawingml/2006/main">
                <a:ext uri="{FF2B5EF4-FFF2-40B4-BE49-F238E27FC236}">
                  <a16:creationId xmlns:a16="http://schemas.microsoft.com/office/drawing/2014/main" id="{05B0152F-021D-4ECA-942F-75C33837FB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image003">
                      <a:extLst>
                        <a:ext uri="{FF2B5EF4-FFF2-40B4-BE49-F238E27FC236}">
                          <a16:creationId xmlns:a16="http://schemas.microsoft.com/office/drawing/2014/main" id="{05B0152F-021D-4ECA-942F-75C33837FB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915" cy="296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A0" w:rsidRDefault="00DC41A0" w:rsidP="00A01D38">
      <w:r>
        <w:t>Pop-Up on Clinical dashboard Screen</w:t>
      </w:r>
    </w:p>
    <w:p w:rsidR="00DC41A0" w:rsidRPr="00A01D38" w:rsidRDefault="003555CC" w:rsidP="00A01D38">
      <w:r>
        <w:rPr>
          <w:noProof/>
        </w:rPr>
        <w:drawing>
          <wp:inline distT="0" distB="0" distL="0" distR="0">
            <wp:extent cx="5943600" cy="195199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ient due for VL in 12 Months since ART Initi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1A0" w:rsidRPr="00A01D38" w:rsidSect="007D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8EC"/>
    <w:multiLevelType w:val="hybridMultilevel"/>
    <w:tmpl w:val="45F4F79C"/>
    <w:lvl w:ilvl="0" w:tplc="97C4D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849"/>
    <w:multiLevelType w:val="hybridMultilevel"/>
    <w:tmpl w:val="C7A835CE"/>
    <w:lvl w:ilvl="0" w:tplc="9C5AD3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1B63"/>
    <w:multiLevelType w:val="hybridMultilevel"/>
    <w:tmpl w:val="F0A6A80C"/>
    <w:lvl w:ilvl="0" w:tplc="51D0E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5CDCE8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2" w:tplc="17F8E118">
      <w:start w:val="217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28E4B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F3CB7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510F9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D3E6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6A80D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B770D07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BD7E78"/>
    <w:multiLevelType w:val="hybridMultilevel"/>
    <w:tmpl w:val="FF0ADAFE"/>
    <w:lvl w:ilvl="0" w:tplc="3A649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457FF"/>
    <w:multiLevelType w:val="hybridMultilevel"/>
    <w:tmpl w:val="DF566280"/>
    <w:lvl w:ilvl="0" w:tplc="4C2212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E0F88"/>
    <w:multiLevelType w:val="hybridMultilevel"/>
    <w:tmpl w:val="17B25D5E"/>
    <w:lvl w:ilvl="0" w:tplc="E3FCD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129"/>
    <w:multiLevelType w:val="hybridMultilevel"/>
    <w:tmpl w:val="CB32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49DB"/>
    <w:multiLevelType w:val="hybridMultilevel"/>
    <w:tmpl w:val="BDE8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F5F98"/>
    <w:multiLevelType w:val="hybridMultilevel"/>
    <w:tmpl w:val="A72CF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B799E"/>
    <w:multiLevelType w:val="hybridMultilevel"/>
    <w:tmpl w:val="F6C6D27A"/>
    <w:lvl w:ilvl="0" w:tplc="237CAA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15838FC">
      <w:start w:val="217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7390FB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93A04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A3C2D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7D6EF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81621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310E72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B1AEDFD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9A15AB"/>
    <w:multiLevelType w:val="hybridMultilevel"/>
    <w:tmpl w:val="26BC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615E6"/>
    <w:multiLevelType w:val="hybridMultilevel"/>
    <w:tmpl w:val="2658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8C"/>
    <w:rsid w:val="00006D76"/>
    <w:rsid w:val="000113EB"/>
    <w:rsid w:val="0001176D"/>
    <w:rsid w:val="00012931"/>
    <w:rsid w:val="000132AB"/>
    <w:rsid w:val="00024157"/>
    <w:rsid w:val="00051AC9"/>
    <w:rsid w:val="000544B6"/>
    <w:rsid w:val="0007284A"/>
    <w:rsid w:val="00092835"/>
    <w:rsid w:val="00097418"/>
    <w:rsid w:val="000A4918"/>
    <w:rsid w:val="000B2824"/>
    <w:rsid w:val="000F3BF8"/>
    <w:rsid w:val="00100D1F"/>
    <w:rsid w:val="00102FB8"/>
    <w:rsid w:val="001033BA"/>
    <w:rsid w:val="00110240"/>
    <w:rsid w:val="001348C1"/>
    <w:rsid w:val="00137C52"/>
    <w:rsid w:val="00196367"/>
    <w:rsid w:val="00196EEA"/>
    <w:rsid w:val="001A2741"/>
    <w:rsid w:val="001A2C11"/>
    <w:rsid w:val="001A6918"/>
    <w:rsid w:val="001A78ED"/>
    <w:rsid w:val="001B074A"/>
    <w:rsid w:val="001B4A7E"/>
    <w:rsid w:val="001B73D6"/>
    <w:rsid w:val="001F017E"/>
    <w:rsid w:val="001F0244"/>
    <w:rsid w:val="002045B1"/>
    <w:rsid w:val="00222C59"/>
    <w:rsid w:val="00225FF8"/>
    <w:rsid w:val="00231881"/>
    <w:rsid w:val="00233B57"/>
    <w:rsid w:val="002344C0"/>
    <w:rsid w:val="00236EAC"/>
    <w:rsid w:val="0023729F"/>
    <w:rsid w:val="00247039"/>
    <w:rsid w:val="00250558"/>
    <w:rsid w:val="002546DB"/>
    <w:rsid w:val="00261157"/>
    <w:rsid w:val="00284F69"/>
    <w:rsid w:val="00295C35"/>
    <w:rsid w:val="002A1E1F"/>
    <w:rsid w:val="002A68FA"/>
    <w:rsid w:val="002B5421"/>
    <w:rsid w:val="002C1F8C"/>
    <w:rsid w:val="002D3A6D"/>
    <w:rsid w:val="002D7C4E"/>
    <w:rsid w:val="002E36CF"/>
    <w:rsid w:val="002E5BD7"/>
    <w:rsid w:val="002E63B4"/>
    <w:rsid w:val="002F00A8"/>
    <w:rsid w:val="002F56B1"/>
    <w:rsid w:val="00301D8C"/>
    <w:rsid w:val="00322837"/>
    <w:rsid w:val="00323149"/>
    <w:rsid w:val="00323D51"/>
    <w:rsid w:val="00331264"/>
    <w:rsid w:val="00340CD2"/>
    <w:rsid w:val="003555CC"/>
    <w:rsid w:val="00381E4B"/>
    <w:rsid w:val="00383E98"/>
    <w:rsid w:val="003B5F30"/>
    <w:rsid w:val="003C6A2B"/>
    <w:rsid w:val="003E697E"/>
    <w:rsid w:val="003F64B8"/>
    <w:rsid w:val="0040026A"/>
    <w:rsid w:val="00416D9D"/>
    <w:rsid w:val="00423062"/>
    <w:rsid w:val="0042485C"/>
    <w:rsid w:val="00427998"/>
    <w:rsid w:val="004507C8"/>
    <w:rsid w:val="004518EF"/>
    <w:rsid w:val="004621B7"/>
    <w:rsid w:val="0046419F"/>
    <w:rsid w:val="004921BF"/>
    <w:rsid w:val="00494C78"/>
    <w:rsid w:val="004A1F77"/>
    <w:rsid w:val="004A2EDF"/>
    <w:rsid w:val="004B6C79"/>
    <w:rsid w:val="004C21A1"/>
    <w:rsid w:val="004C2C60"/>
    <w:rsid w:val="00504C64"/>
    <w:rsid w:val="00511B5C"/>
    <w:rsid w:val="00515AF4"/>
    <w:rsid w:val="00527C38"/>
    <w:rsid w:val="00530FDE"/>
    <w:rsid w:val="00535B44"/>
    <w:rsid w:val="00537157"/>
    <w:rsid w:val="005375CA"/>
    <w:rsid w:val="00592171"/>
    <w:rsid w:val="005A0703"/>
    <w:rsid w:val="005A1D96"/>
    <w:rsid w:val="005C6995"/>
    <w:rsid w:val="005F4C9A"/>
    <w:rsid w:val="00606E1F"/>
    <w:rsid w:val="00616982"/>
    <w:rsid w:val="00627F08"/>
    <w:rsid w:val="006355A9"/>
    <w:rsid w:val="00641A54"/>
    <w:rsid w:val="00663B90"/>
    <w:rsid w:val="006A2F0E"/>
    <w:rsid w:val="006A505F"/>
    <w:rsid w:val="006A7DBC"/>
    <w:rsid w:val="006F50D5"/>
    <w:rsid w:val="00706443"/>
    <w:rsid w:val="0071246E"/>
    <w:rsid w:val="00713424"/>
    <w:rsid w:val="00714B8F"/>
    <w:rsid w:val="00720E7A"/>
    <w:rsid w:val="00722C99"/>
    <w:rsid w:val="007359B1"/>
    <w:rsid w:val="00773A59"/>
    <w:rsid w:val="007755EB"/>
    <w:rsid w:val="00775749"/>
    <w:rsid w:val="0077610C"/>
    <w:rsid w:val="007811DA"/>
    <w:rsid w:val="007D003D"/>
    <w:rsid w:val="007D0CA6"/>
    <w:rsid w:val="007D2546"/>
    <w:rsid w:val="00800070"/>
    <w:rsid w:val="00816055"/>
    <w:rsid w:val="00823F47"/>
    <w:rsid w:val="00860B4A"/>
    <w:rsid w:val="00871F69"/>
    <w:rsid w:val="00876FE5"/>
    <w:rsid w:val="00885E9C"/>
    <w:rsid w:val="0089086A"/>
    <w:rsid w:val="00895166"/>
    <w:rsid w:val="008B3D41"/>
    <w:rsid w:val="008C0FBE"/>
    <w:rsid w:val="008E368A"/>
    <w:rsid w:val="008F737B"/>
    <w:rsid w:val="00915C1F"/>
    <w:rsid w:val="00922C68"/>
    <w:rsid w:val="00932C68"/>
    <w:rsid w:val="00934ACA"/>
    <w:rsid w:val="00940A23"/>
    <w:rsid w:val="00952639"/>
    <w:rsid w:val="009620B5"/>
    <w:rsid w:val="009705FC"/>
    <w:rsid w:val="009870AA"/>
    <w:rsid w:val="009915A6"/>
    <w:rsid w:val="009A4E6B"/>
    <w:rsid w:val="009B2726"/>
    <w:rsid w:val="009B30F9"/>
    <w:rsid w:val="009C7CE4"/>
    <w:rsid w:val="009E35BB"/>
    <w:rsid w:val="009F6D87"/>
    <w:rsid w:val="00A00AA6"/>
    <w:rsid w:val="00A01D38"/>
    <w:rsid w:val="00A3438E"/>
    <w:rsid w:val="00A57AAA"/>
    <w:rsid w:val="00AE49E0"/>
    <w:rsid w:val="00AF1D98"/>
    <w:rsid w:val="00B22127"/>
    <w:rsid w:val="00B24F77"/>
    <w:rsid w:val="00B44316"/>
    <w:rsid w:val="00B521B1"/>
    <w:rsid w:val="00B61274"/>
    <w:rsid w:val="00B67C2A"/>
    <w:rsid w:val="00B76F30"/>
    <w:rsid w:val="00B920BA"/>
    <w:rsid w:val="00BA0952"/>
    <w:rsid w:val="00BA1DA5"/>
    <w:rsid w:val="00BA2EB5"/>
    <w:rsid w:val="00BC0463"/>
    <w:rsid w:val="00BC7748"/>
    <w:rsid w:val="00BD09B1"/>
    <w:rsid w:val="00BD4B78"/>
    <w:rsid w:val="00BE3EAC"/>
    <w:rsid w:val="00BF1274"/>
    <w:rsid w:val="00BF19E2"/>
    <w:rsid w:val="00C11093"/>
    <w:rsid w:val="00C17353"/>
    <w:rsid w:val="00C24B92"/>
    <w:rsid w:val="00C3234E"/>
    <w:rsid w:val="00C333D1"/>
    <w:rsid w:val="00C343EE"/>
    <w:rsid w:val="00C421EE"/>
    <w:rsid w:val="00C47374"/>
    <w:rsid w:val="00C47593"/>
    <w:rsid w:val="00C47BEF"/>
    <w:rsid w:val="00C5138F"/>
    <w:rsid w:val="00C60DD1"/>
    <w:rsid w:val="00C91A8B"/>
    <w:rsid w:val="00C95167"/>
    <w:rsid w:val="00C96A49"/>
    <w:rsid w:val="00CA352B"/>
    <w:rsid w:val="00CA64A8"/>
    <w:rsid w:val="00CF226A"/>
    <w:rsid w:val="00D019B9"/>
    <w:rsid w:val="00D059A0"/>
    <w:rsid w:val="00D40CDF"/>
    <w:rsid w:val="00D43180"/>
    <w:rsid w:val="00D46382"/>
    <w:rsid w:val="00D7557E"/>
    <w:rsid w:val="00DA5379"/>
    <w:rsid w:val="00DA59FA"/>
    <w:rsid w:val="00DC41A0"/>
    <w:rsid w:val="00DC4526"/>
    <w:rsid w:val="00DD0CB0"/>
    <w:rsid w:val="00DE14D2"/>
    <w:rsid w:val="00DE6E82"/>
    <w:rsid w:val="00DF5D36"/>
    <w:rsid w:val="00E11F4A"/>
    <w:rsid w:val="00E43667"/>
    <w:rsid w:val="00E46154"/>
    <w:rsid w:val="00E679A0"/>
    <w:rsid w:val="00E7477D"/>
    <w:rsid w:val="00E77965"/>
    <w:rsid w:val="00E975D9"/>
    <w:rsid w:val="00EC41BE"/>
    <w:rsid w:val="00EC6E74"/>
    <w:rsid w:val="00ED5A08"/>
    <w:rsid w:val="00EF0EFF"/>
    <w:rsid w:val="00EF7AC3"/>
    <w:rsid w:val="00F00DC4"/>
    <w:rsid w:val="00F03E84"/>
    <w:rsid w:val="00F057FE"/>
    <w:rsid w:val="00F11ACB"/>
    <w:rsid w:val="00F15FB4"/>
    <w:rsid w:val="00F22F72"/>
    <w:rsid w:val="00F37301"/>
    <w:rsid w:val="00F72657"/>
    <w:rsid w:val="00F8613C"/>
    <w:rsid w:val="00F951DB"/>
    <w:rsid w:val="00FB74C5"/>
    <w:rsid w:val="00FD1698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E4AB"/>
  <w15:chartTrackingRefBased/>
  <w15:docId w15:val="{E0A1F146-3085-46FA-AFFA-507F4FC6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3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3D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26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26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3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1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Koma, Teboho</dc:creator>
  <cp:keywords/>
  <dc:description/>
  <cp:lastModifiedBy>Koma, Teboho</cp:lastModifiedBy>
  <cp:revision>34</cp:revision>
  <dcterms:created xsi:type="dcterms:W3CDTF">2020-06-10T11:02:00Z</dcterms:created>
  <dcterms:modified xsi:type="dcterms:W3CDTF">2020-06-10T13:09:00Z</dcterms:modified>
</cp:coreProperties>
</file>